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854baad3dd60c9f06f3e116dc75f0f9dac719"/>
    <w:p>
      <w:pPr>
        <w:pStyle w:val="Heading3"/>
      </w:pPr>
      <w:r>
        <w:t xml:space="preserve">Алексей Кортнев рассказывает историю своих родных и близких – участников войны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t xml:space="preserve">Мы продолжаем серию публикаций видеороликов об акции «Бессмертный полк».</w:t>
      </w:r>
    </w:p>
    <w:p>
      <w:pPr>
        <w:pStyle w:val="BodyText"/>
      </w:pPr>
      <w:r>
        <w:t xml:space="preserve">Вы увидите на нашем сайте выступления известных людей. Большинство из них никак не связано с политикой. Это музыканты и артисты, телеведущий, историк, государственный деятель.</w:t>
      </w:r>
    </w:p>
    <w:p>
      <w:pPr>
        <w:pStyle w:val="BodyText"/>
      </w:pPr>
      <w:r>
        <w:t xml:space="preserve">Все эти люди говорят о личном отношении к войне, Победе, акции «Бессмертный полк». Они вспоминают своих родных и близких и рассказывают нам свою историю Великой Отечественной.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http://sevizm.mos.ru/70-years-of-the-great-victory/detail/1755025.html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755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2025-01-17T06:31:15Z</dcterms:created>
  <dcterms:modified xsi:type="dcterms:W3CDTF">2025-01-17T06:31:15Z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