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0bfe6b0b1a7a3ac9da4ed6354ed6935067e2c"/>
    <w:p>
      <w:pPr>
        <w:pStyle w:val="Heading3"/>
      </w:pPr>
      <w:r>
        <w:t xml:space="preserve">9 октября 2014 года состоялась он-лайн конференция главы управы района с пользователями сайта района</w:t>
      </w:r>
    </w:p>
    <w:p>
      <w:pPr>
        <w:pStyle w:val="FirstParagraph"/>
      </w:pPr>
      <w:r>
        <w:t xml:space="preserve">10.10.2014</w:t>
      </w:r>
    </w:p>
    <w:p>
      <w:pPr>
        <w:pStyle w:val="BodyText"/>
      </w:pPr>
      <w:r>
        <w:t xml:space="preserve">09.10.2014 с 10.00 до 11.00 в кабинете 212 управы района состоялась он-лайн конференция главы управы района с пользователями сайта района, проведенная с помощью ресурса Skype. Ответы на поступившие вопросы были даны во время проведения онлайн-конференции.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http://sevizm.mos.ru/about/glava_upravy/vstrechi_s_naseleniem/detail/1340444.html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bout/glava_upravy/vstrechi_s_naseleniem/detail/1340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bout/glava_upravy/vstrechi_s_naseleniem/detail/1340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2024-01-14T12:02:57Z</dcterms:created>
  <dcterms:modified xsi:type="dcterms:W3CDTF">2024-01-14T12:02:57Z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