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411bbf750ebb0b4e6d0f07bacaa68c81d5547"/>
    <w:p>
      <w:pPr>
        <w:pStyle w:val="Heading3"/>
      </w:pPr>
      <w:r>
        <w:t xml:space="preserve">Новые рубрики для сайтов управ Восточного административного округа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t xml:space="preserve">Новые рубрики для сайтов управ ВАО Москвы выбрали жители округа. Обсуждение тем для дополнительных разделов велось в проекте «Активный гражданин». По итогам опроса, лидировала рубрика FAQ –это ответы на часто задаваемые вопросы. За нее проголосовали 44% жителей ВАО. По мнению 22,5% респондентов, сайты управ следует дополнить разделом «Народное краеведение», где будут размещаться исторические очерки о районе.</w:t>
      </w:r>
      <w:r>
        <w:br/>
      </w:r>
      <w:r>
        <w:br/>
      </w:r>
      <w:r>
        <w:t xml:space="preserve">16,5% опрошенных проголосовали за рубрику «70 лет Великой Победы». В ней предполагается публиковать рассказы и воспоминания ветеранов Великой Отечественной войны. Раздел «Район в лицах» считают нужным 14% горожан. В нем планируется рассказывать о выдающихся людях, живущих в районе.</w:t>
      </w:r>
      <w:r>
        <w:br/>
      </w:r>
      <w:r>
        <w:br/>
      </w:r>
      <w:r>
        <w:t xml:space="preserve">Восточный административный округ Москвы включает в себя 16 районов: Богородское, Вешняки, Восточное Измайлово, Восточный, Гольяново, Ивановское, Измайлово, Косино-Ухтомский, Метрогородок, Новогиреево, Новокосино, Перово, Преображенское, Северное Измайлово, Соколиная Гора и Сокольники.</w:t>
      </w:r>
      <w:r>
        <w:br/>
      </w:r>
      <w:r>
        <w:br/>
      </w:r>
      <w:r>
        <w:t xml:space="preserve">Главным источником официальной информации управ районов являются их сайты. Основные рубрики интернет-ресурсов рассказывают о деятельности управы, реализации программ благоустройства территории, публичных слушаниях и т.д. Ежемесячно официальные порталы управ районов посещают порядка 24 тысяч пользователей. Это хороший показатель, тем не менее, управы заинтересованы в увеличении количества посетителей сайтов. По результатам опроса в проекте «Активный гражданин» будет скорректирована информационная политика онлайн-ресурсов Восточного административного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http://sevizm.mos.ru/active-citizenn/detail/1391482.html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1391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1391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2025-05-26T10:40:23Z</dcterms:created>
  <dcterms:modified xsi:type="dcterms:W3CDTF">2025-05-26T10:40:23Z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