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2464fd90691cec7cc0f3ad50a1ed4551b735d"/>
    <w:p>
      <w:pPr>
        <w:pStyle w:val="Heading3"/>
      </w:pPr>
      <w:r>
        <w:t xml:space="preserve">Противодействие коррупции. Памятка для служащих: сведения о доходах, расходах</w:t>
      </w:r>
    </w:p>
    <w:p>
      <w:pPr>
        <w:pStyle w:val="FirstParagraph"/>
      </w:pPr>
      <w:r>
        <w:t xml:space="preserve">22.01.2019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http://sevizm.mos.ru/anti-corruption/methodical-recommendations/detail/7835961.html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anti-corruption/methodical-recommendations/detail/78359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anti-corruption/methodical-recommendations/detail/78359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2023-07-21T19:44:36Z</dcterms:created>
  <dcterms:modified xsi:type="dcterms:W3CDTF">2023-07-21T19:44:36Z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