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амятка-телефонный-терроризм"/>
    <w:p>
      <w:pPr>
        <w:pStyle w:val="Heading3"/>
      </w:pPr>
      <w:r>
        <w:t xml:space="preserve">Памятка «Телефонный терроризм»</w:t>
      </w:r>
    </w:p>
    <w:p>
      <w:pPr>
        <w:pStyle w:val="FirstParagraph"/>
      </w:pPr>
      <w:r>
        <w:t xml:space="preserve">27.08.2021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Памятка «Телефонный терроризм»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http://sevizm.mos.ru/counter-terrorism/memo-to-the-population-behavior-in-the-event-of-threats-of-a-terrorist-act/detail/10209954.html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counter-terrorism/memo-to-the-population-behavior-in-the-event-of-threats-of-a-terrorist-act/detail/10209954.html" TargetMode="External" /><Relationship Type="http://schemas.openxmlformats.org/officeDocument/2006/relationships/hyperlink" Id="rId20" Target="http://www.mos.ru/atk/documents/pamyatki-rekomendacii/view/257253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counter-terrorism/memo-to-the-population-behavior-in-the-event-of-threats-of-a-terrorist-act/detail/10209954.html" TargetMode="External" /><Relationship Type="http://schemas.openxmlformats.org/officeDocument/2006/relationships/hyperlink" Id="rId20" Target="http://www.mos.ru/atk/documents/pamyatki-rekomendacii/view/257253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2025-02-06T12:08:02Z</dcterms:created>
  <dcterms:modified xsi:type="dcterms:W3CDTF">2025-02-06T12:08:02Z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