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0c78ab78d73e1915831d3dca80592265f390e"/>
    <w:p>
      <w:pPr>
        <w:pStyle w:val="Heading3"/>
      </w:pPr>
      <w:r>
        <w:t xml:space="preserve">Если вы являетесь собственником квартиры, жилого дома, земельного участка, транспортного средства, вам необходимо в этом году уплатить налог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транспортного средства, вам необходимо в этом году уплатить налог на имущество физических лиц, транспортный и земельный налоги</w:t>
      </w:r>
      <w:r>
        <w:t xml:space="preserve"> </w:t>
      </w:r>
      <w:r>
        <w:rPr>
          <w:bCs/>
          <w:b/>
        </w:rPr>
        <w:t xml:space="preserve">не позднее 1 декабря</w:t>
      </w:r>
      <w:r>
        <w:t xml:space="preserve">.</w:t>
      </w:r>
    </w:p>
    <w:p>
      <w:pPr>
        <w:pStyle w:val="BodyText"/>
      </w:pPr>
      <w:r>
        <w:t xml:space="preserve">Налоговое уведомление москвичам направляется налоговыми органами не позднее 30 дней до наступления срока уплаты налогов.</w:t>
      </w:r>
    </w:p>
    <w:p>
      <w:pPr>
        <w:pStyle w:val="BodyText"/>
      </w:pPr>
      <w:r>
        <w:t xml:space="preserve">Рассылка налоговых уведомлений на бумажном носителе не осуществляется гражданам, подключенным к сервису «Личный кабинет налогоплательщика для физических лиц» на официальном интернет-сайте ФНС России, за исключением тех физических лиц, которые направили уведомление о необходимости получения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уведомления, вы можете обратиться за его получением в любую налоговую инспекцию или в многофункциональный центр предоставления государственных услуг г. Москвы.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http://sevizm.mos.ru/inform/detail/9346078.html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346078.html" TargetMode="External" /><Relationship Type="http://schemas.openxmlformats.org/officeDocument/2006/relationships/hyperlink" Id="rId20" Target="http://www.r77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346078.html" TargetMode="External" /><Relationship Type="http://schemas.openxmlformats.org/officeDocument/2006/relationships/hyperlink" Id="rId20" Target="http://www.r77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2024-04-09T23:30:50Z</dcterms:created>
  <dcterms:modified xsi:type="dcterms:W3CDTF">2024-04-09T23:30:50Z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