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С 2021 года беззаявительный порядок представления льгот по земельному налогу, транспортному налогу и налогу на имущество физических лиц также предусмотрен в отношении</w:t>
      </w:r>
      <w:r>
        <w:t xml:space="preserve"> </w:t>
      </w:r>
      <w:r>
        <w:rPr>
          <w:bCs/>
          <w:b/>
        </w:rPr>
        <w:t xml:space="preserve">ветеранов боевых действий</w:t>
      </w:r>
      <w:r>
        <w:t xml:space="preserve">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http://sevizm.mos.ru/inform/detail/9718723.html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sevizm.mos.ru" TargetMode="External" /><Relationship Type="http://schemas.openxmlformats.org/officeDocument/2006/relationships/hyperlink" Id="rId31" Target="http://sevizm.mos.ru/inform/detail/9718723.html" TargetMode="External" /><Relationship Type="http://schemas.openxmlformats.org/officeDocument/2006/relationships/hyperlink" Id="rId3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sevizm.mos.ru" TargetMode="External" /><Relationship Type="http://schemas.openxmlformats.org/officeDocument/2006/relationships/hyperlink" Id="rId31" Target="http://sevizm.mos.ru/inform/detail/9718723.html" TargetMode="External" /><Relationship Type="http://schemas.openxmlformats.org/officeDocument/2006/relationships/hyperlink" Id="rId3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2023-09-10T12:55:55Z</dcterms:created>
  <dcterms:modified xsi:type="dcterms:W3CDTF">2023-09-10T12:55:55Z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