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С 2021 года беззаявительный порядок представления льгот по земельному налогу, транспортному налогу и налогу на имущество физических лиц также предусмотрен в отношении</w:t>
      </w:r>
      <w:r>
        <w:t xml:space="preserve"> </w:t>
      </w:r>
      <w:r>
        <w:rPr>
          <w:bCs/>
          <w:b/>
        </w:rPr>
        <w:t xml:space="preserve">ветеранов боевых действий</w:t>
      </w:r>
      <w:r>
        <w:t xml:space="preserve">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http://sevizm.mos.ru/inform/detail/9721494.html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sevizm.mos.ru" TargetMode="External" /><Relationship Type="http://schemas.openxmlformats.org/officeDocument/2006/relationships/hyperlink" Id="rId31" Target="http://sevizm.mos.ru/inform/detail/9721494.html" TargetMode="External" /><Relationship Type="http://schemas.openxmlformats.org/officeDocument/2006/relationships/hyperlink" Id="rId3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sevizm.mos.ru" TargetMode="External" /><Relationship Type="http://schemas.openxmlformats.org/officeDocument/2006/relationships/hyperlink" Id="rId31" Target="http://sevizm.mos.ru/inform/detail/9721494.html" TargetMode="External" /><Relationship Type="http://schemas.openxmlformats.org/officeDocument/2006/relationships/hyperlink" Id="rId3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2023-11-03T03:11:29Z</dcterms:created>
  <dcterms:modified xsi:type="dcterms:W3CDTF">2023-11-03T03:11:29Z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