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b3ef3a09f5a13abbc61ebba3242a720992235e"/>
    <w:p>
      <w:pPr>
        <w:pStyle w:val="Heading3"/>
      </w:pPr>
      <w:r>
        <w:t xml:space="preserve">ИФНС России №20 по г. Москве сообщает о проведении вебинаров для налогоплательщиков!</w:t>
      </w:r>
    </w:p>
    <w:p>
      <w:pPr>
        <w:pStyle w:val="FirstParagraph"/>
      </w:pPr>
      <w:r>
        <w:t xml:space="preserve">15.04.2021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Ссылка на платформу, предназначенную для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20.04.2021г., 11-00</w:t>
            </w:r>
          </w:p>
        </w:tc>
        <w:tc>
          <w:tcPr/>
          <w:p>
            <w:pPr>
              <w:jc w:val="left"/>
            </w:pPr>
            <w:r>
              <w:t xml:space="preserve">Обязанность представления налоговой декларации и уплаты налога на доходы физических лиц в соответствии с положениями статьи 228 Налогового кодекса Российской Федерации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https://vksnp4.nalog.ru/conference/obyazannost-predstavleniya-nalogovoj-deklaracii-i-?token=0230ff1d-b67e-477c-8ffe-6ef3c40dd868</w:t>
              </w:r>
            </w:hyperlink>
          </w:p>
        </w:tc>
        <w:tc>
          <w:tcPr/>
          <w:p>
            <w:pPr>
              <w:jc w:val="left"/>
            </w:pPr>
            <w:r>
              <w:t xml:space="preserve">Паркина Елена Николаевна, 8 (495) 4001916, 13870</w:t>
            </w:r>
          </w:p>
        </w:tc>
      </w:tr>
      <w:tr>
        <w:tc>
          <w:tcPr/>
          <w:p>
            <w:pPr>
              <w:jc w:val="left"/>
            </w:pPr>
            <w:r>
              <w:t xml:space="preserve">18.05.2021г., 11-00</w:t>
            </w:r>
          </w:p>
        </w:tc>
        <w:tc>
          <w:tcPr/>
          <w:p>
            <w:pPr>
              <w:jc w:val="left"/>
            </w:pPr>
            <w:r>
              <w:t xml:space="preserve">Порядок исчисления страховых взносов юридическими лицами в 2021 году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https://vksnp4.nalog.ru/conference/poryadok-ischisleniya-straxovyx-vznosov-yuridiches?token=3d2402ac-344f-41c3-a8af-2f033cfd24e5</w:t>
            </w:r>
          </w:p>
        </w:tc>
        <w:tc>
          <w:tcPr/>
          <w:p>
            <w:pPr>
              <w:jc w:val="left"/>
            </w:pPr>
            <w:r>
              <w:t xml:space="preserve">Щипкова Марианна Николаевна 8(495) 4001957, 13965</w:t>
            </w:r>
          </w:p>
        </w:tc>
      </w:tr>
      <w:tr>
        <w:tc>
          <w:tcPr/>
          <w:p>
            <w:pPr>
              <w:jc w:val="left"/>
            </w:pPr>
            <w:r>
              <w:t xml:space="preserve">08.06.2021г., 11-00</w:t>
            </w:r>
          </w:p>
        </w:tc>
        <w:tc>
          <w:tcPr/>
          <w:p>
            <w:pPr>
              <w:jc w:val="left"/>
            </w:pPr>
            <w:r>
              <w:t xml:space="preserve">Правила уплаты и администрирования транспортного и земельного налога ЮЛ за 2020г.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https://vksnp4.nalog.ru/conference/pravila-uplaty-i-administrirovaniya-transportnogo-?token=acbdbc9b-b6b9-41d2-8fce-200db94bbc31</w:t>
              </w:r>
            </w:hyperlink>
          </w:p>
        </w:tc>
        <w:tc>
          <w:tcPr/>
          <w:p>
            <w:pPr>
              <w:jc w:val="left"/>
            </w:pPr>
            <w:r>
              <w:t xml:space="preserve">Будель Ирина Анатольевна, 8 (495) 4001948, 13974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http://sevizm.mos.ru/inform/detail/9873665.html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9873665.html" TargetMode="External" /><Relationship Type="http://schemas.openxmlformats.org/officeDocument/2006/relationships/hyperlink" Id="rId20" Target="https://vksnp4.nalog.ru/conference/obyazannost-predstavleniya-nalogovoj-deklaracii-i-?token=0230ff1d-b67e-477c-8ffe-6ef3c40dd868" TargetMode="External" /><Relationship Type="http://schemas.openxmlformats.org/officeDocument/2006/relationships/hyperlink" Id="rId21" Target="https://vksnp4.nalog.ru/conference/pravila-uplaty-i-administrirovaniya-transportnogo-?token=acbdbc9b-b6b9-41d2-8fce-200db94bbc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9873665.html" TargetMode="External" /><Relationship Type="http://schemas.openxmlformats.org/officeDocument/2006/relationships/hyperlink" Id="rId20" Target="https://vksnp4.nalog.ru/conference/obyazannost-predstavleniya-nalogovoj-deklaracii-i-?token=0230ff1d-b67e-477c-8ffe-6ef3c40dd868" TargetMode="External" /><Relationship Type="http://schemas.openxmlformats.org/officeDocument/2006/relationships/hyperlink" Id="rId21" Target="https://vksnp4.nalog.ru/conference/pravila-uplaty-i-administrirovaniya-transportnogo-?token=acbdbc9b-b6b9-41d2-8fce-200db94bbc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2025-07-27T12:23:45Z</dcterms:created>
  <dcterms:modified xsi:type="dcterms:W3CDTF">2025-07-27T12:23:45Z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