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0dcaffb9f9721ff6f369bf032e497de6c7c0a"/>
    <w:p>
      <w:pPr>
        <w:pStyle w:val="Heading3"/>
      </w:pPr>
      <w:r>
        <w:t xml:space="preserve">Жителям района Северное Измайлово предоставлено помещение для проведения собраний собственников МКД</w:t>
      </w:r>
    </w:p>
    <w:p>
      <w:pPr>
        <w:pStyle w:val="FirstParagraph"/>
      </w:pPr>
      <w:r>
        <w:t xml:space="preserve">23.03.2015</w:t>
      </w:r>
    </w:p>
    <w:p>
      <w:pPr>
        <w:pStyle w:val="BodyText"/>
      </w:pPr>
      <w:r>
        <w:t xml:space="preserve">Жителям района Северное Измайлово предоставлено помещение для проведения собраний собственников МКД по адресу: Щелковское шоссе, д.. 48, к.2, (актовый зал Совета ветеранов войны, труда, Вооруженных сил и правоохранительных органов района) вместимостью 80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http://sevizm.mos.ru/overhaul/news-on-major-repairs/detail/1679034.html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overhaul/news-on-major-repairs/detail/16790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overhaul/news-on-major-repairs/detail/16790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2025-05-23T22:57:47Z</dcterms:created>
  <dcterms:modified xsi:type="dcterms:W3CDTF">2025-05-23T22:57:47Z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