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02ffd685a8f095bea8ed8e33e22975b58f1d3"/>
    <w:p>
      <w:pPr>
        <w:pStyle w:val="Heading3"/>
      </w:pPr>
      <w:r>
        <w:t xml:space="preserve">На участие в предварительном отборе подрядчиков для капремонта жилфонда Москвы поступило более 350 заявок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t xml:space="preserve">356 заявок на участие в предварительном отборе подрядчиков на капитальный ремонт жилфонда Москвы поступило в комиссию по предварительному отбору столичного Фонда капитального ремонта многоквартирных домов.</w:t>
      </w:r>
    </w:p>
    <w:p>
      <w:pPr>
        <w:pStyle w:val="BodyText"/>
      </w:pPr>
      <w:r>
        <w:drawing>
          <wp:inline>
            <wp:extent cx="5334000" cy="3564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overhaul/Капремонт_заяв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230 компаний изъявили желание заключить контракт с городом на выполнение подрядных работ по капремонту.</w:t>
      </w:r>
    </w:p>
    <w:p>
      <w:pPr>
        <w:pStyle w:val="BodyText"/>
      </w:pPr>
      <w:r>
        <w:t xml:space="preserve">Максимальное количество заявок было подано предпринимателями на право выполнения работ по капитальному ремонту общего имущества в многоквартирных домах с предельной стоимостью не превышающей 60 млн рублей и с предельной стоимостью от 60 до 500 млн рублей –</w:t>
      </w:r>
      <w:r>
        <w:t xml:space="preserve"> </w:t>
      </w:r>
      <w:r>
        <w:rPr>
          <w:bCs/>
          <w:b/>
        </w:rPr>
        <w:t xml:space="preserve">185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81</w:t>
      </w:r>
      <w:r>
        <w:t xml:space="preserve"> </w:t>
      </w:r>
      <w:r>
        <w:t xml:space="preserve">соответственно. На выполнение работ по капремонту в многоквартирных домах, являющихся объектами культурного наследия, выявленными объектами культурного наследия в диапазоне до 60 млн. рублей и от 60 до 500 млн. рублей –</w:t>
      </w:r>
      <w:r>
        <w:t xml:space="preserve"> </w:t>
      </w:r>
      <w:r>
        <w:rPr>
          <w:bCs/>
          <w:b/>
        </w:rPr>
        <w:t xml:space="preserve">15 и 10</w:t>
      </w:r>
      <w:r>
        <w:t xml:space="preserve">. На замену лифтового оборудования с предельной стоимостью договора, не превышающей 60 млн рублей и с предельной стоимостью от 60 до 500 млн рублей -</w:t>
      </w:r>
      <w:r>
        <w:t xml:space="preserve"> </w:t>
      </w:r>
      <w:r>
        <w:rPr>
          <w:bCs/>
          <w:b/>
        </w:rPr>
        <w:t xml:space="preserve">37 и 28</w:t>
      </w:r>
      <w:r>
        <w:t xml:space="preserve"> </w:t>
      </w:r>
      <w:r>
        <w:t xml:space="preserve">соответственно.</w:t>
      </w:r>
    </w:p>
    <w:p>
      <w:pPr>
        <w:pStyle w:val="BodyText"/>
      </w:pPr>
      <w:r>
        <w:t xml:space="preserve">Протоколы заседания комиссии по вскрытию конвертов с заявками будут опубликованы на сайте Департамента города Москвы по конкурентной политике 30 ноября 2015г.</w:t>
      </w:r>
    </w:p>
    <w:p>
      <w:pPr>
        <w:pStyle w:val="BodyText"/>
      </w:pPr>
      <w:r>
        <w:t xml:space="preserve">Итоги предварительных отборов будут подведены не позднее 25 декабря 2015 года.</w:t>
      </w:r>
    </w:p>
    <w:p>
      <w:pPr>
        <w:pStyle w:val="BodyText"/>
      </w:pPr>
      <w:r>
        <w:t xml:space="preserve">Подробную информацию о ходе процедур и реализации контрактов можно найти на официальной информационной площадке проведения конкурентных процедур Фонда капитального ремонта многоквартирных домов города Москвы – сайте Департамента города Москвы по конкурентной политике.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http://sevizm.mos.ru/overhaul/news-on-major-repairs/detail/2341039.html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overhaul/news-on-major-repairs/detail/2341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overhaul/news-on-major-repairs/detail/2341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2025-07-13T16:52:02Z</dcterms:created>
  <dcterms:modified xsi:type="dcterms:W3CDTF">2025-07-13T16:52:02Z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