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af3699199bcac3cecb405f4477426ce82c4f4a"/>
    <w:p>
      <w:pPr>
        <w:pStyle w:val="Heading3"/>
      </w:pPr>
      <w:r>
        <w:t xml:space="preserve">Информация о признании недействительной декларации о соответствии (ЕАЭС N RU Д-RU.PA01.B.28008/23 от 23/01/2023) пищевой продукции (готовые соусы: соус Ворчестер, соус Вустерский, соус Вустерширский) ООО «МЭНФУД»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drawing>
          <wp:inline>
            <wp:extent cx="5334000" cy="47797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763/ut53fbsshyuf1inzg5sen25g2eh1s46h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797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1166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izm.mos.ru/www/upload/medialibrary/a76/5hfdh04q1uj48tuqsbtaz2pbti1nsmto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16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http://sevizm.mos.ru/pr/general-information/detail/11614271.html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1614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izm.mos.ru" TargetMode="External" /><Relationship Type="http://schemas.openxmlformats.org/officeDocument/2006/relationships/hyperlink" Id="rId26" Target="http://sevizm.mos.ru/pr/general-information/detail/11614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2024-05-11T00:04:48Z</dcterms:created>
  <dcterms:modified xsi:type="dcterms:W3CDTF">2024-05-11T00:04:48Z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