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d349030688fe4fe172e3cb2b0fd72edace4500"/>
    <w:p>
      <w:pPr>
        <w:pStyle w:val="Heading3"/>
      </w:pPr>
      <w:r>
        <w:t xml:space="preserve">О признании недействительным сертификата соответствия на детские товары</w:t>
      </w:r>
    </w:p>
    <w:p>
      <w:pPr>
        <w:pStyle w:val="FirstParagraph"/>
      </w:pPr>
      <w:r>
        <w:t xml:space="preserve">04.09.2023</w:t>
      </w:r>
    </w:p>
    <w:bookmarkEnd w:id="20"/>
    <w:bookmarkStart w:id="24" w:name="Xb92fb9eb60fe7500fb918ed0fc77d92966f9652"/>
    <w:p>
      <w:pPr>
        <w:pStyle w:val="Heading1"/>
      </w:pPr>
      <w:hyperlink r:id="rId21">
        <w:r>
          <w:rPr>
            <w:rStyle w:val="Hyperlink"/>
          </w:rPr>
          <w:t xml:space="preserve">О признании недействительным сертификата соответствия на детские товары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http://sevizm.mos.ru/pr/general-information/detail/11810559.html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30.08.2023_01_9232_23_.pdf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810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30.08.2023_01_9232_23_.pdf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810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2024-04-08T01:53:03Z</dcterms:created>
  <dcterms:modified xsi:type="dcterms:W3CDTF">2024-04-08T01:53:03Z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