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9723fbcf42a94f9ca6d04953a4dea0a21d737"/>
    <w:p>
      <w:pPr>
        <w:pStyle w:val="Heading3"/>
      </w:pPr>
      <w:r>
        <w:t xml:space="preserve">Москва заняла первое место в рейтинге эффективности функционирования энергетической отрасли регионов России</w:t>
      </w:r>
    </w:p>
    <w:p>
      <w:pPr>
        <w:pStyle w:val="FirstParagraph"/>
      </w:pPr>
      <w:r>
        <w:t xml:space="preserve">28.07.2021</w:t>
      </w:r>
    </w:p>
    <w:p>
      <w:pPr>
        <w:pStyle w:val="BodyText"/>
      </w:pPr>
      <w:r>
        <w:t xml:space="preserve">Москва заняла первое место в рейтинге российских регионов по оценке эффективности функционирования энергетической отрасли, подготовленном Ассоциацией «НП Совет Рынка». Вместе с Москвой в пятёрку лидеров вошли Забайкальский край, Калужская область, Белгородская область и Новгородская область, сообщил министр Правительства Москвы, руководитель Департамента экономической политики и развития города Кирилл Пуртов.</w:t>
      </w:r>
    </w:p>
    <w:p>
      <w:pPr>
        <w:pStyle w:val="BodyText"/>
      </w:pPr>
      <w:r>
        <w:t xml:space="preserve">Ежегодный интегральный рейтинг «Субъекты Российской Федерации: точность прогнозирования электропотребления, схема и программа развития электроэнергетики, схема теплоснабжения административного центра, расчёты на розничных рынках электрической энергии, перекрёстное субсидирование» готовится Ассоциацией «НП Совет Рынка» с 2018 года. Рейтинг определяет регионы России, имеющие наилучшие сводные показатели по основным параметрам функционирования рынка электроэнергетики в 2019–2020 годах. В рейтинге учитывалось наличие схемы и программы развития электроэнергетической системы, точность прогнозирования электропотребления региона, изменение величины перекрёстного субсидирования и другие показатели.</w:t>
      </w:r>
    </w:p>
    <w:p>
      <w:pPr>
        <w:pStyle w:val="BodyText"/>
      </w:pPr>
      <w:r>
        <w:t xml:space="preserve">«Сегодня энергосистема Москвы является одним из самых экономически эффективных, динамично развивающихся и финансово устойчивых топливно-энергетических хозяйств, оснащённых передовыми технологиями и высококвалифицированными кадрами. С 2020 года в городе реализуется программа перспективного развития электроэнергетики, разработанная с учётом Генерального плана Москвы и территориальных схем развития территорий Новой Москвы. По предварительным оценкам, общий объём инвестиций в строительство, реконструкцию, техническое перевооружение и модернизацию электросетевых объектов в 2020–2025 годы составит более 136,32 млрд рублей, из которых 38,14 млрд рублей – инвестиции в новое строительство», – подчеркнул Кирилл Пуртов.</w:t>
      </w:r>
    </w:p>
    <w:p>
      <w:pPr>
        <w:pStyle w:val="BodyText"/>
      </w:pPr>
      <w:r>
        <w:t xml:space="preserve">Департаментом экономической политики и развития города Москвы на постоянной основе проводится работа по прогнозированию электро- и теплопотребления Москвы с целью оптимизации режимов работы основного оборудования энергетической системы города. Это позволяет повысить эффективность работы оборудования и за счет экономии объемов электро- и теплопотребления сдерживать рост тарифов для потребителей Москвы. Помимо этого, для того чтобы соблюсти принципы экономической обоснованности тарифов и баланс интересов разных категорий потребителей, Департамент проводит поэтапную работу по выравниванию тарифов на электро- и теплоэнергию и сокращению перекрестного субсидирования населения за счет прочих потребителей, отметил министр.</w:t>
      </w:r>
    </w:p>
    <w:p>
      <w:pPr>
        <w:pStyle w:val="BodyText"/>
      </w:pPr>
      <w:r>
        <w:t xml:space="preserve">В энергосистеме Москвы насчитывается 177 электроподстанций напряжением 110-220-500 кВ. Общая протяжённость высоковольтных электрических сетей города составляет почти 3,2 тысячи км, из которых около 52% приходится на воздушные и 48% – на кабельные линии. В системе энергоснабжения города работают 27 электростанций суммарной установочной мощностью 10,87 ГВт, в том числе 8 электростанций работает на возобновляемых источниках энергии и местных видах топлива. Это малые ГЭС, электростанции при мусоросжигательных заводах и на очистных сооружениях.</w:t>
      </w:r>
    </w:p>
    <w:p>
      <w:pPr>
        <w:pStyle w:val="BodyText"/>
      </w:pPr>
      <w:r>
        <w:t xml:space="preserve">В соответствии с программой перспективного развития электроэнергетики города Москвы до 2025 года планируется ввод в эксплуатацию новых генерирующих мощностей и вывод устаревших; проведение модернизации генерирующего оборудования; ввод новых, реконструкция и повышение надёжности существующих объектов электросетевого хозяйства.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http://sevizm.mos.ru/presscenter/news/detail/10139704.html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0139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10139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2025-08-06T00:08:26Z</dcterms:created>
  <dcterms:modified xsi:type="dcterms:W3CDTF">2025-08-06T00:08:26Z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