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814b666148f36534ab65bff3e4f4c68111796"/>
    <w:p>
      <w:pPr>
        <w:pStyle w:val="Heading3"/>
      </w:pPr>
      <w:r>
        <w:t xml:space="preserve">Стали известны лучшие проекты технологического конкурса Impact Challenge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Недавно в столице впервые прошел технологический конкурс Impact Challenge. Его организатором выступил Московский инновационный кластер. Конкурс был предназначен для бизнес-проектов в сфере корпоративной социальной ответственности и устойчивого развития</w:t>
      </w:r>
      <w:r>
        <w:t xml:space="preserve">.</w:t>
      </w:r>
    </w:p>
    <w:p>
      <w:pPr>
        <w:pStyle w:val="BodyText"/>
      </w:pPr>
      <w:r>
        <w:t xml:space="preserve">«Технологии могут и должны менять жизнь к лучшему. Задача конкурса — поддержать молодые и перспективные проекты, помочь им на самом сложном, начальном этапе», — подчеркнула заместитель мэра Москвы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 </w:t>
      </w:r>
      <w:r>
        <w:t xml:space="preserve">в разговоре со СМИ.</w:t>
      </w:r>
    </w:p>
    <w:p>
      <w:pPr>
        <w:pStyle w:val="BodyText"/>
      </w:pPr>
      <w:r>
        <w:t xml:space="preserve">Участниками конкурса стали столичные компании, создающие технологичные продукты для решения социальных задач, занимающиеся медицинскими разработками, развивающие онлайн-образование, технологии умных городов и другие направления. Проекты получили менторскую и финансовую поддержку, нашли деловых партнеров и инвесторов.</w:t>
      </w:r>
    </w:p>
    <w:p>
      <w:pPr>
        <w:pStyle w:val="BodyText"/>
      </w:pPr>
      <w:r>
        <w:t xml:space="preserve">«Современный бизнес уверенно берет курс на достижение целей устойчивого развития. Крупные корпорации активно ищут инновационные технологические решения, с помощью которых смогут решать социальные и экологические проблемы. Конкурс позволяет компаниям найти востребованные продукты и сервисы, а стартапам уже на первых этапах уверенно заявить о себе», — добавил глава Департамента предпринимательства и инновационного развития</w:t>
      </w:r>
      <w:r>
        <w:t xml:space="preserve"> </w:t>
      </w:r>
      <w:r>
        <w:rPr>
          <w:bCs/>
          <w:b/>
        </w:rPr>
        <w:t xml:space="preserve">Алексей Фурсин</w:t>
      </w:r>
      <w:r>
        <w:t xml:space="preserve">.</w:t>
      </w:r>
    </w:p>
    <w:p>
      <w:pPr>
        <w:pStyle w:val="BodyText"/>
      </w:pPr>
      <w:r>
        <w:t xml:space="preserve">Одним из финалистов конкурса стал, например, проект SOL. Это цифровая платформа, позволяющая наладить коммуникацию между неслышащими людьми и обслуживающими их специалистами в компаниях и организациях. Разработчики уже заключили договор с двумя новыми клиентами и создали успешный пилот.</w:t>
      </w:r>
    </w:p>
    <w:p>
      <w:pPr>
        <w:pStyle w:val="BodyText"/>
      </w:pPr>
      <w:r>
        <w:t xml:space="preserve">Самым инвестиционно-привлекательным стартапом названа платформа Tensy для обучения школьников и студентов. Этот проект получил грант от</w:t>
      </w:r>
      <w:r>
        <w:t xml:space="preserve"> </w:t>
      </w:r>
      <w:hyperlink r:id="rId20">
        <w:r>
          <w:rPr>
            <w:rStyle w:val="Hyperlink"/>
          </w:rPr>
          <w:t xml:space="preserve">Moscow Seed Fund</w:t>
        </w:r>
      </w:hyperlink>
      <w:r>
        <w:t xml:space="preserve">, прошел акселератор Ed2 и венчурный акселератор. Кроме того, партнеры Impact Challenge заинтересовались представленными проектами в сфере социального влияния и инклюзивных сервисов. Получили одобрение также разработки для предпринимательского сообщества, медицинских работников, технологические проекты для решения социальных проблем, инновационные продукты для экологии и энергетики, и другие.</w:t>
      </w:r>
    </w:p>
    <w:p>
      <w:pPr>
        <w:pStyle w:val="BodyText"/>
      </w:pPr>
      <w:r>
        <w:t xml:space="preserve">Напомним, Impact Challenge опирается на программу ООН в области устойчивого развития, которая состоит из 17 целей. Они направлены на экономический рост, ликвидацию нищеты, сохранение ресурсов планеты и решение других глобальных задач. Для достижения каждой из целей необходимы совместные усилия правительств, гражданского общества и бизнеса. В качестве экспертов конкурса стартапы оценивали представители United Nations Global Compact (Глобальная сеть договора ООН), школы инноваций и креативного мышления «ИКРА», университета ИТМО.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http://sevizm.mos.ru/presscenter/news/detail/10355352.html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10355352.html" TargetMode="External" /><Relationship Type="http://schemas.openxmlformats.org/officeDocument/2006/relationships/hyperlink" Id="rId20" Target="https://mosinn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10355352.html" TargetMode="External" /><Relationship Type="http://schemas.openxmlformats.org/officeDocument/2006/relationships/hyperlink" Id="rId20" Target="https://mosinn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2025-08-06T00:08:35Z</dcterms:created>
  <dcterms:modified xsi:type="dcterms:W3CDTF">2025-08-06T00:08:35Z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