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токол-11-от-24.11.2022"/>
    <w:p>
      <w:pPr>
        <w:pStyle w:val="Heading3"/>
      </w:pPr>
      <w:r>
        <w:t xml:space="preserve">Протокол № 11 от 24.11.2022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bookmarkEnd w:id="20"/>
    <w:bookmarkStart w:id="24" w:name="Xf6b85c6c4adff8dfa143a8552bce68413dd100d"/>
    <w:p>
      <w:pPr>
        <w:pStyle w:val="Heading3"/>
      </w:pPr>
      <w:bookmarkStart w:id="21" w:name="RANGE!A1:B16"/>
      <w:r>
        <w:t xml:space="preserve">24.11.2022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1"/>
    </w:p>
    <w:p>
      <w:pPr>
        <w:pStyle w:val="FirstParagraph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center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Сиреневый бульвар, д. 3, к.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металлические гаражи - 2 ед.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Сиреневый бульвар, д. 3, к.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металлический гараж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Щелковское шоссе, вл. 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металлический гараж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http://sevizm.mos.ru/str/the-district-commission-to-curb-the-unauthorized-construction-in-the-territory-of-the-vao-g-moskvy/2022/detail/11327038.html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1327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1327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2025-06-03T00:44:20Z</dcterms:created>
  <dcterms:modified xsi:type="dcterms:W3CDTF">2025-06-03T00:44:20Z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