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иагноз-бешенство-не-установлен"/>
    <w:p>
      <w:pPr>
        <w:pStyle w:val="Heading3"/>
      </w:pPr>
      <w:r>
        <w:t xml:space="preserve">Диагноз бешенство не установлен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09.09.2023 г. в Городскую ветеринарную лабораторию был доставлен труп крысы, принадлежащего гр. Кавун В.С., проживающей по адресу: г. Москва, ул. 16-я Парковая, д.49, корп.2 для исследования на бешенство. Государственная ветеринарная служба Восточного и Юго-Восточного АО информирует, что по результату биопробы от 13 октября 2023 г.  № 40433 диагноз бешенство не установлен.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http://sevizm.mos.ru/the-state-veterinary-service/detail/11907594.html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907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907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2024-09-26T01:05:44Z</dcterms:created>
  <dcterms:modified xsi:type="dcterms:W3CDTF">2024-09-26T01:05:44Z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