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rPr>
          <w:bCs/>
          <w:b/>
        </w:rP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</w:t>
      </w:r>
    </w:p>
    <w:p>
      <w:pPr>
        <w:pStyle w:val="BodyText"/>
      </w:pPr>
      <w:r>
        <w:t xml:space="preserve">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 </w:t>
      </w:r>
      <w:r>
        <w:t xml:space="preserve">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 </w:t>
      </w:r>
      <w:r>
        <w:t xml:space="preserve">и застройки определены границы и установлены градостроительные регламенты. </w:t>
      </w:r>
      <w:r>
        <w:t xml:space="preserve">Они объединяются возможностью застройки определенными объектами, к примеру, 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 </w:t>
      </w:r>
      <w:r>
        <w:t xml:space="preserve">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 </w:t>
      </w:r>
      <w:r>
        <w:t xml:space="preserve">в реестр недвижимости данные становятся общедоступными </w:t>
      </w:r>
      <w:r>
        <w:t xml:space="preserve">и отображаются на</w:t>
      </w:r>
      <w:r>
        <w:t xml:space="preserve"> </w:t>
      </w:r>
      <w:hyperlink r:id="rId20">
        <w:r>
          <w:rPr>
            <w:rStyle w:val="Hyperlink"/>
          </w:rPr>
          <w:t xml:space="preserve">Публичной кадастровой карте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 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http://sevizm.mos.ru/will-rosiest/detail/10598473.html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598473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598473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2024-10-08T22:52:00Z</dcterms:created>
  <dcterms:modified xsi:type="dcterms:W3CDTF">2024-10-08T22:52:00Z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