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1fa22d662a591cd0745ccff31627a8bf8b26d2"/>
    <w:p>
      <w:pPr>
        <w:pStyle w:val="Heading3"/>
      </w:pPr>
      <w:r>
        <w:t xml:space="preserve">Кадастровая палата по Москве рассказала гражданам старшего поколения об их имущественных правах</w:t>
      </w:r>
    </w:p>
    <w:p>
      <w:pPr>
        <w:pStyle w:val="FirstParagraph"/>
      </w:pPr>
      <w:r>
        <w:t xml:space="preserve">30.11.2022</w:t>
      </w:r>
    </w:p>
    <w:p>
      <w:pPr>
        <w:pStyle w:val="BodyText"/>
      </w:pPr>
      <w:hyperlink r:id="rId20">
        <w:r>
          <w:rPr>
            <w:rStyle w:val="Hyperlink"/>
          </w:rPr>
          <w:t xml:space="preserve">Эксперты проконсультировали москвичей и ответили на все интересующие вопросы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http://sevizm.mos.ru/will-rosiest/detail/11260887.html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6;&#1054;&#1057;&#1056;&#1045;&#1045;&#1057;&#1058;&#1056;!.pdf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will-rosiest/detail/112608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6;&#1054;&#1057;&#1056;&#1045;&#1045;&#1057;&#1058;&#1056;!.pdf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will-rosiest/detail/112608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2025-07-28T02:37:56Z</dcterms:created>
  <dcterms:modified xsi:type="dcterms:W3CDTF">2025-07-28T02:37:56Z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