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96fe5f4144ad4396d2c310ad53cc552c4e763"/>
    <w:p>
      <w:pPr>
        <w:pStyle w:val="Heading3"/>
      </w:pPr>
      <w:r>
        <w:t xml:space="preserve">Как оформить загородный дом, рассказала Кадастровая палата по Москве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hyperlink r:id="rId20">
        <w:r>
          <w:rPr>
            <w:rStyle w:val="Hyperlink"/>
          </w:rPr>
          <w:t xml:space="preserve">Эксперты филиала ответили на вопросы москвичей о законодательных новшествах оформления дома, которые начали действовать осенью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http://sevizm.mos.ru/will-rosiest/detail/11285340.html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54;&#1057;&#1056;&#1045;&#1045;&#1057;&#1058;&#1056;1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85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54;&#1057;&#1056;&#1045;&#1045;&#1057;&#1058;&#1056;1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85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2023-06-15T06:42:21Z</dcterms:created>
  <dcterms:modified xsi:type="dcterms:W3CDTF">2023-06-15T06:42:21Z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