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700cf2d2451a787441f419aa4b394e04b4aca"/>
    <w:p>
      <w:pPr>
        <w:pStyle w:val="Heading3"/>
      </w:pPr>
      <w:r>
        <w:t xml:space="preserve">Эксперты Роскадастра по Москве ответили на актуальные вопросы по выдаче сведений из ЕГРН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hyperlink r:id="rId20">
        <w:r>
          <w:rPr>
            <w:rStyle w:val="Hyperlink"/>
          </w:rPr>
          <w:t xml:space="preserve">Эксперты Роскадастра по Москве ответили на актуальные вопросы </w:t>
        </w:r>
        <w:r>
          <w:rPr>
            <w:rStyle w:val="Hyperlink"/>
          </w:rPr>
          <w:t xml:space="preserve">по выдаче сведений из ЕГРН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http://sevizm.mos.ru/will-rosiest/detail/11501414.html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77;&#1088;&#1089;&#1086;&#1085;&#1072;&#1083;&#1100;&#1085;&#1099;&#1077;_&#1076;&#1072;&#1085;&#1085;&#1099;&#1077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501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77;&#1088;&#1089;&#1086;&#1085;&#1072;&#1083;&#1100;&#1085;&#1099;&#1077;_&#1076;&#1072;&#1085;&#1085;&#1099;&#1077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501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2025-06-08T21:21:05Z</dcterms:created>
  <dcterms:modified xsi:type="dcterms:W3CDTF">2025-06-08T21:21:05Z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