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31f09d38c5496a0661770997d3ee7cbe5493e"/>
    <w:p>
      <w:pPr>
        <w:pStyle w:val="Heading3"/>
      </w:pPr>
      <w:r>
        <w:t xml:space="preserve">Росреестр: в Москве зарегистрировано максимальное для июля число переходов прав на вторичном рынке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hyperlink r:id="rId20">
        <w:r>
          <w:rPr>
            <w:rStyle w:val="Hyperlink"/>
          </w:rPr>
          <w:t xml:space="preserve">В июле 2023 года Управлением Росреестра по Москве зарегистрировано 14 932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перехода права на основании договоров купли-продажи (мены) жилья</w:t>
        </w:r>
        <w:r>
          <w:rPr>
            <w:rStyle w:val="Hyperlink"/>
          </w:rPr>
          <w:t xml:space="preserve">, что на 5,2% ниже показателя июня (15 746). По отношению к июлю 2022 года (8 344) отмечается увеличение на 79%, а к аналогичному периоду 2021 года (13 481) рост составил 10,8%.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http://sevizm.mos.ru/will-rosiest/detail/11773319.html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77;&#1089;&#1089;-&#1088;&#1077;&#1083;&#1080;&#1079;%20&#1050;&#1091;&#1087;&#1083;&#1103;-&#1087;&#1088;&#1086;&#1076;&#1072;&#1078;&#1072;%20&#1048;&#1102;&#1083;&#1100;%202023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773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77;&#1089;&#1089;-&#1088;&#1077;&#1083;&#1080;&#1079;%20&#1050;&#1091;&#1087;&#1083;&#1103;-&#1087;&#1088;&#1086;&#1076;&#1072;&#1078;&#1072;%20&#1048;&#1102;&#1083;&#1100;%202023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773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2023-11-20T18:18:45Z</dcterms:created>
  <dcterms:modified xsi:type="dcterms:W3CDTF">2023-11-20T18:18:45Z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